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61" w:rsidRDefault="00287261" w:rsidP="003B447F">
      <w:pPr>
        <w:jc w:val="center"/>
        <w:rPr>
          <w:rFonts w:eastAsia="標楷體"/>
          <w:b/>
          <w:bCs/>
          <w:sz w:val="32"/>
          <w:szCs w:val="32"/>
        </w:rPr>
      </w:pPr>
      <w:r w:rsidRPr="00844D94">
        <w:rPr>
          <w:rFonts w:ascii="標楷體" w:eastAsia="標楷體" w:hAnsi="標楷體" w:cs="標楷體" w:hint="eastAsia"/>
          <w:b/>
          <w:bCs/>
          <w:sz w:val="32"/>
          <w:szCs w:val="32"/>
        </w:rPr>
        <w:t>桃園市</w:t>
      </w:r>
      <w:r w:rsidRPr="00844D94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sz w:val="32"/>
          <w:szCs w:val="32"/>
        </w:rPr>
        <w:t>8</w:t>
      </w:r>
      <w:r w:rsidRPr="00844D94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 w:rsidRPr="00844D94">
        <w:rPr>
          <w:rFonts w:ascii="標楷體" w:eastAsia="標楷體" w:hAnsi="標楷體" w:cs="標楷體" w:hint="eastAsia"/>
          <w:b/>
          <w:bCs/>
          <w:color w:val="000000"/>
          <w:spacing w:val="18"/>
          <w:sz w:val="32"/>
          <w:szCs w:val="32"/>
        </w:rPr>
        <w:t>新世代反毒策略</w:t>
      </w:r>
      <w:r w:rsidRPr="00844D94">
        <w:rPr>
          <w:rFonts w:ascii="標楷體" w:eastAsia="標楷體" w:hAnsi="標楷體" w:cs="標楷體"/>
          <w:b/>
          <w:bCs/>
          <w:color w:val="000000"/>
          <w:spacing w:val="18"/>
          <w:sz w:val="32"/>
          <w:szCs w:val="32"/>
        </w:rPr>
        <w:t>—</w:t>
      </w:r>
      <w:r w:rsidRPr="001575DA">
        <w:rPr>
          <w:rFonts w:eastAsia="標楷體" w:cs="標楷體" w:hint="eastAsia"/>
          <w:b/>
          <w:bCs/>
          <w:sz w:val="32"/>
          <w:szCs w:val="32"/>
        </w:rPr>
        <w:t>結合民間團體</w:t>
      </w:r>
    </w:p>
    <w:p w:rsidR="00287261" w:rsidRPr="008F480E" w:rsidRDefault="00287261" w:rsidP="003B447F">
      <w:pPr>
        <w:jc w:val="center"/>
        <w:rPr>
          <w:rFonts w:ascii="標楷體" w:eastAsia="標楷體" w:hAnsi="標楷體"/>
          <w:b/>
          <w:bCs/>
          <w:color w:val="000000"/>
          <w:spacing w:val="18"/>
          <w:sz w:val="32"/>
          <w:szCs w:val="32"/>
        </w:rPr>
      </w:pPr>
      <w:r w:rsidRPr="001575DA">
        <w:rPr>
          <w:rFonts w:eastAsia="標楷體" w:cs="標楷體" w:hint="eastAsia"/>
          <w:b/>
          <w:bCs/>
          <w:sz w:val="32"/>
          <w:szCs w:val="32"/>
        </w:rPr>
        <w:t>辦理</w:t>
      </w:r>
      <w:bookmarkStart w:id="0" w:name="_GoBack"/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「夏日拒毒鬥陣趣」</w:t>
      </w:r>
      <w:r>
        <w:rPr>
          <w:rFonts w:eastAsia="標楷體" w:cs="標楷體" w:hint="eastAsia"/>
          <w:b/>
          <w:bCs/>
          <w:sz w:val="32"/>
          <w:szCs w:val="32"/>
        </w:rPr>
        <w:t>傳統藝陣文化反毒夏令營</w:t>
      </w:r>
      <w:r w:rsidRPr="00844D94">
        <w:rPr>
          <w:rFonts w:ascii="標楷體" w:eastAsia="標楷體" w:hAnsi="標楷體" w:cs="標楷體" w:hint="eastAsia"/>
          <w:b/>
          <w:bCs/>
          <w:sz w:val="32"/>
          <w:szCs w:val="32"/>
        </w:rPr>
        <w:t>實施計畫</w:t>
      </w:r>
      <w:bookmarkEnd w:id="0"/>
    </w:p>
    <w:p w:rsidR="00287261" w:rsidRDefault="00287261" w:rsidP="0026642D">
      <w:pPr>
        <w:adjustRightInd w:val="0"/>
        <w:snapToGrid w:val="0"/>
        <w:spacing w:line="240" w:lineRule="atLeast"/>
        <w:ind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壹、依據</w:t>
      </w:r>
      <w:r w:rsidRPr="00E8391D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287261" w:rsidRPr="00264F5D" w:rsidRDefault="00287261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行政院</w:t>
      </w:r>
      <w:r w:rsidRPr="00264F5D">
        <w:rPr>
          <w:rFonts w:ascii="標楷體" w:eastAsia="標楷體" w:hAnsi="標楷體" w:cs="標楷體"/>
          <w:spacing w:val="8"/>
          <w:kern w:val="0"/>
          <w:sz w:val="28"/>
          <w:szCs w:val="28"/>
        </w:rPr>
        <w:t>106</w:t>
      </w: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年</w:t>
      </w:r>
      <w:r w:rsidRPr="00264F5D">
        <w:rPr>
          <w:rFonts w:ascii="標楷體" w:eastAsia="標楷體" w:hAnsi="標楷體" w:cs="標楷體"/>
          <w:spacing w:val="8"/>
          <w:kern w:val="0"/>
          <w:sz w:val="28"/>
          <w:szCs w:val="28"/>
        </w:rPr>
        <w:t>7</w:t>
      </w: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月</w:t>
      </w:r>
      <w:r w:rsidRPr="00264F5D">
        <w:rPr>
          <w:rFonts w:ascii="標楷體" w:eastAsia="標楷體" w:hAnsi="標楷體" w:cs="標楷體"/>
          <w:spacing w:val="8"/>
          <w:kern w:val="0"/>
          <w:sz w:val="28"/>
          <w:szCs w:val="28"/>
        </w:rPr>
        <w:t>21</w:t>
      </w: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日院臺法字第</w:t>
      </w:r>
      <w:r w:rsidRPr="00264F5D">
        <w:rPr>
          <w:rFonts w:ascii="標楷體" w:eastAsia="標楷體" w:hAnsi="標楷體" w:cs="標楷體"/>
          <w:spacing w:val="8"/>
          <w:kern w:val="0"/>
          <w:sz w:val="28"/>
          <w:szCs w:val="28"/>
        </w:rPr>
        <w:t>1060181586</w:t>
      </w: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號函新世代反毒策略行動綱領。</w:t>
      </w:r>
    </w:p>
    <w:p w:rsidR="00287261" w:rsidRPr="00264F5D" w:rsidRDefault="00287261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264F5D">
        <w:rPr>
          <w:rFonts w:ascii="標楷體" w:eastAsia="標楷體" w:hAnsi="標楷體" w:cs="標楷體"/>
          <w:spacing w:val="8"/>
          <w:kern w:val="0"/>
          <w:sz w:val="28"/>
          <w:szCs w:val="28"/>
        </w:rPr>
        <w:t>107</w:t>
      </w: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年度中央毒品考核視導項次二</w:t>
      </w:r>
      <w:r w:rsidRPr="00264F5D">
        <w:rPr>
          <w:rFonts w:ascii="標楷體" w:eastAsia="標楷體" w:hAnsi="標楷體" w:cs="標楷體"/>
          <w:spacing w:val="8"/>
          <w:kern w:val="0"/>
          <w:sz w:val="28"/>
          <w:szCs w:val="28"/>
        </w:rPr>
        <w:t>:</w:t>
      </w: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「針對縣市內各類對象、群族規劃毒品防制宣導及預防措施，並落實督考機制</w:t>
      </w:r>
      <w:r w:rsidRPr="00264F5D">
        <w:rPr>
          <w:rFonts w:ascii="標楷體" w:eastAsia="標楷體" w:hAnsi="標楷體" w:cs="標楷體"/>
          <w:spacing w:val="8"/>
          <w:kern w:val="0"/>
          <w:sz w:val="28"/>
          <w:szCs w:val="28"/>
        </w:rPr>
        <w:t>(</w:t>
      </w: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二</w:t>
      </w:r>
      <w:r w:rsidRPr="00264F5D">
        <w:rPr>
          <w:rFonts w:ascii="標楷體" w:eastAsia="標楷體" w:hAnsi="標楷體" w:cs="標楷體"/>
          <w:spacing w:val="8"/>
          <w:kern w:val="0"/>
          <w:sz w:val="28"/>
          <w:szCs w:val="28"/>
        </w:rPr>
        <w:t>)</w:t>
      </w:r>
      <w:r w:rsidRPr="00264F5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針對宮廟或藝陣，規劃藥物濫用防制相關作為」視導重點辦理。</w:t>
      </w:r>
    </w:p>
    <w:p w:rsidR="00287261" w:rsidRDefault="00287261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052A2">
        <w:rPr>
          <w:rFonts w:ascii="標楷體" w:eastAsia="標楷體" w:hAnsi="標楷體" w:cs="標楷體"/>
          <w:spacing w:val="8"/>
          <w:kern w:val="0"/>
          <w:sz w:val="28"/>
          <w:szCs w:val="28"/>
        </w:rPr>
        <w:t>108</w:t>
      </w:r>
      <w:r w:rsidRPr="00A052A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年度毒品危害防制中心工作暨衛生福利部補助辦理藥癮者處遇計畫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。</w:t>
      </w:r>
    </w:p>
    <w:p w:rsidR="00287261" w:rsidRPr="00A052A2" w:rsidRDefault="00287261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052A2">
        <w:rPr>
          <w:rFonts w:ascii="標楷體" w:eastAsia="標楷體" w:hAnsi="標楷體" w:cs="標楷體"/>
          <w:spacing w:val="8"/>
          <w:kern w:val="0"/>
          <w:sz w:val="28"/>
          <w:szCs w:val="28"/>
        </w:rPr>
        <w:t>108</w:t>
      </w:r>
      <w:r w:rsidRPr="00A052A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年度友善校園學生事務與輔導工作計畫。</w:t>
      </w:r>
    </w:p>
    <w:p w:rsidR="00287261" w:rsidRPr="00C74819" w:rsidRDefault="00287261" w:rsidP="0026642D">
      <w:pPr>
        <w:adjustRightInd w:val="0"/>
        <w:snapToGrid w:val="0"/>
        <w:spacing w:line="240" w:lineRule="atLeast"/>
        <w:ind w:left="31680" w:hangingChars="200" w:firstLine="3168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Pr="00E8391D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287261" w:rsidRPr="00A2155E" w:rsidRDefault="00287261" w:rsidP="003B447F">
      <w:pPr>
        <w:numPr>
          <w:ilvl w:val="1"/>
          <w:numId w:val="2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2155E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因應行政院</w:t>
      </w:r>
      <w:r w:rsidRPr="00A2155E">
        <w:rPr>
          <w:rFonts w:ascii="標楷體" w:eastAsia="標楷體" w:hAnsi="標楷體" w:cs="標楷體"/>
          <w:spacing w:val="8"/>
          <w:kern w:val="0"/>
          <w:sz w:val="28"/>
          <w:szCs w:val="28"/>
        </w:rPr>
        <w:t>106</w:t>
      </w:r>
      <w:r w:rsidRPr="00A2155E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年</w:t>
      </w:r>
      <w:r w:rsidRPr="00A2155E">
        <w:rPr>
          <w:rFonts w:ascii="標楷體" w:eastAsia="標楷體" w:hAnsi="標楷體" w:cs="標楷體"/>
          <w:spacing w:val="8"/>
          <w:kern w:val="0"/>
          <w:sz w:val="28"/>
          <w:szCs w:val="28"/>
        </w:rPr>
        <w:t>7</w:t>
      </w:r>
      <w:r w:rsidRPr="00A2155E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月提出「新世代反毒策略」之「強化防制新興毒品進入校園」，藉由政府機關、學校與民間攜手合作，共同打擊毒品。</w:t>
      </w:r>
    </w:p>
    <w:p w:rsidR="00287261" w:rsidRDefault="00287261" w:rsidP="003B447F">
      <w:pPr>
        <w:numPr>
          <w:ilvl w:val="1"/>
          <w:numId w:val="2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透過優良傳統藝陣文化之傳遞與正向表演的方式</w:t>
      </w:r>
      <w:r w:rsidRPr="00A2155E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結合在地民俗技藝與民俗文化體驗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，</w:t>
      </w:r>
      <w:r w:rsidRPr="00502C8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推動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良善宗廟教化及民俗文化傳承活動</w:t>
      </w:r>
      <w:r w:rsidRPr="00502C8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並</w:t>
      </w:r>
      <w:r w:rsidRPr="00502C8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提升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參與</w:t>
      </w:r>
      <w:r w:rsidRPr="00502C8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青年學子認同及積極參與「防毒」與勇敢「拒毒」。</w:t>
      </w:r>
    </w:p>
    <w:p w:rsidR="00287261" w:rsidRPr="006500ED" w:rsidRDefault="00287261" w:rsidP="003B447F">
      <w:pPr>
        <w:numPr>
          <w:ilvl w:val="1"/>
          <w:numId w:val="2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6500E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藉由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形象良好</w:t>
      </w:r>
      <w:r w:rsidRPr="006500E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宮廟藝人推動優質正向藝陣文化活動，打擊非法宮廟藝陣吸收學生從事非法不當行為，及落實推行「反毒」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政策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，</w:t>
      </w:r>
      <w:r w:rsidRPr="006500E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建立良好友善宮廟形象，避免青少年感染惡習。並於活動中傳遞正確藥物濫用認知及拒毒技巧，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使</w:t>
      </w:r>
      <w:r w:rsidRPr="006500ED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學生遠離毒害以減少、降低毒品所帶來的威脅。</w:t>
      </w:r>
    </w:p>
    <w:p w:rsidR="00287261" w:rsidRPr="00095823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叁、辦理單位</w:t>
      </w:r>
    </w:p>
    <w:p w:rsidR="00287261" w:rsidRPr="000B5C72" w:rsidRDefault="00287261" w:rsidP="003B447F">
      <w:pPr>
        <w:adjustRightInd w:val="0"/>
        <w:snapToGrid w:val="0"/>
        <w:spacing w:line="240" w:lineRule="atLeast"/>
        <w:ind w:left="84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一、主辦單位：桃園市政府教育局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桃園市政府衛生局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。</w:t>
      </w:r>
    </w:p>
    <w:p w:rsidR="00287261" w:rsidRPr="000B5C72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二、承</w:t>
      </w:r>
      <w:r w:rsidRPr="00FA735E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辦單位：</w:t>
      </w:r>
      <w:r w:rsidRPr="00FA735E">
        <w:rPr>
          <w:rFonts w:ascii="標楷體" w:eastAsia="標楷體" w:hAnsi="標楷體" w:cs="標楷體" w:hint="eastAsia"/>
          <w:b/>
          <w:bCs/>
          <w:spacing w:val="8"/>
          <w:kern w:val="0"/>
          <w:sz w:val="28"/>
          <w:szCs w:val="28"/>
        </w:rPr>
        <w:t>桃園市美華國小</w:t>
      </w:r>
    </w:p>
    <w:p w:rsidR="00287261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 w:cs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三、協辦單位：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桃園市廣澤文化藝陣促進交流協會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大溪鳳山寺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 xml:space="preserve"> </w:t>
      </w:r>
    </w:p>
    <w:p w:rsidR="00287261" w:rsidRPr="000B5C72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廣澤宮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桃聯廣澤會館</w:t>
      </w:r>
    </w:p>
    <w:p w:rsidR="00287261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肆、辦理時程：</w:t>
      </w:r>
    </w:p>
    <w:p w:rsidR="00287261" w:rsidRPr="000B5C72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cs="標楷體"/>
          <w:spacing w:val="8"/>
          <w:kern w:val="0"/>
          <w:sz w:val="28"/>
          <w:szCs w:val="28"/>
        </w:rPr>
        <w:t>10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12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日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至</w:t>
      </w:r>
      <w:r w:rsidRPr="000B5C72">
        <w:rPr>
          <w:rFonts w:ascii="標楷體" w:eastAsia="標楷體" w:hAnsi="標楷體" w:cs="標楷體"/>
          <w:spacing w:val="8"/>
          <w:kern w:val="0"/>
          <w:sz w:val="28"/>
          <w:szCs w:val="28"/>
        </w:rPr>
        <w:t>10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16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日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止。</w:t>
      </w:r>
    </w:p>
    <w:p w:rsidR="00287261" w:rsidRDefault="00287261" w:rsidP="0026642D">
      <w:pPr>
        <w:adjustRightInd w:val="0"/>
        <w:snapToGrid w:val="0"/>
        <w:spacing w:line="240" w:lineRule="atLeast"/>
        <w:ind w:leftChars="150" w:left="31680" w:hangingChars="183" w:firstLine="3168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伍、辦理地點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及對象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：</w:t>
      </w:r>
    </w:p>
    <w:p w:rsidR="00287261" w:rsidRDefault="00287261" w:rsidP="0026642D">
      <w:pPr>
        <w:adjustRightInd w:val="0"/>
        <w:snapToGrid w:val="0"/>
        <w:spacing w:line="240" w:lineRule="atLeast"/>
        <w:ind w:leftChars="150" w:left="31680" w:hangingChars="183" w:firstLine="3168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一</w:t>
      </w:r>
      <w:r w:rsidRPr="00F93B4C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、活動地點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: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桃園市大溪區美華國小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。</w:t>
      </w:r>
    </w:p>
    <w:p w:rsidR="00287261" w:rsidRDefault="00287261" w:rsidP="0026642D">
      <w:pPr>
        <w:adjustRightInd w:val="0"/>
        <w:snapToGrid w:val="0"/>
        <w:spacing w:line="240" w:lineRule="atLeast"/>
        <w:ind w:leftChars="150" w:left="31680" w:hangingChars="183" w:firstLine="3168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二</w:t>
      </w:r>
      <w:r w:rsidRPr="00F93B4C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、對象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:</w:t>
      </w:r>
      <w:r w:rsidRPr="00F93B4C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本市</w:t>
      </w:r>
      <w:r w:rsidRPr="00F93B4C">
        <w:rPr>
          <w:rFonts w:ascii="標楷體" w:eastAsia="標楷體" w:hAnsi="標楷體" w:cs="標楷體"/>
          <w:spacing w:val="8"/>
          <w:kern w:val="0"/>
          <w:sz w:val="28"/>
          <w:szCs w:val="28"/>
        </w:rPr>
        <w:t>8-16</w:t>
      </w:r>
      <w:r w:rsidRPr="00F93B4C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歲在學學生，預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計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招生</w:t>
      </w: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>80</w:t>
      </w:r>
      <w:r w:rsidRPr="000B5C72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人。</w:t>
      </w:r>
    </w:p>
    <w:p w:rsidR="00287261" w:rsidRDefault="00287261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活動課程內容</w:t>
      </w:r>
      <w:r w:rsidRPr="003C6DB5">
        <w:rPr>
          <w:rFonts w:ascii="標楷體" w:eastAsia="標楷體" w:hAnsi="標楷體" w:cs="標楷體"/>
          <w:spacing w:val="8"/>
          <w:kern w:val="0"/>
          <w:sz w:val="28"/>
          <w:szCs w:val="28"/>
        </w:rPr>
        <w:t>:</w:t>
      </w:r>
    </w:p>
    <w:p w:rsidR="00287261" w:rsidRDefault="00287261" w:rsidP="003B447F">
      <w:pPr>
        <w:adjustRightInd w:val="0"/>
        <w:snapToGrid w:val="0"/>
        <w:spacing w:line="240" w:lineRule="atLeast"/>
        <w:ind w:left="1080"/>
        <w:rPr>
          <w:rFonts w:ascii="標楷體" w:eastAsia="標楷體" w:hAnsi="標楷體"/>
          <w:spacing w:val="8"/>
          <w:kern w:val="0"/>
          <w:sz w:val="28"/>
          <w:szCs w:val="28"/>
        </w:rPr>
      </w:pPr>
    </w:p>
    <w:tbl>
      <w:tblPr>
        <w:tblpPr w:leftFromText="180" w:rightFromText="180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417"/>
        <w:gridCol w:w="1416"/>
        <w:gridCol w:w="1416"/>
        <w:gridCol w:w="1416"/>
        <w:gridCol w:w="1416"/>
      </w:tblGrid>
      <w:tr w:rsidR="00287261" w:rsidRPr="003961FB">
        <w:tc>
          <w:tcPr>
            <w:tcW w:w="1845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時間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/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8/12(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一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)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8/13(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二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)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8/14(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三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)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8/15(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四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)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8/16(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五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)</w:t>
            </w:r>
          </w:p>
        </w:tc>
      </w:tr>
      <w:tr w:rsidR="00287261" w:rsidRPr="003961FB">
        <w:trPr>
          <w:trHeight w:val="756"/>
        </w:trPr>
        <w:tc>
          <w:tcPr>
            <w:tcW w:w="1845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1417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始業典禮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</w:tr>
      <w:tr w:rsidR="00287261" w:rsidRPr="003961FB">
        <w:tc>
          <w:tcPr>
            <w:tcW w:w="1845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鼓陣</w:t>
            </w:r>
            <w:r w:rsidRPr="003961FB">
              <w:rPr>
                <w:rFonts w:ascii="新細明體" w:hAnsi="新細明體" w:cs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獅陣</w:t>
            </w:r>
            <w:r w:rsidRPr="003961FB">
              <w:rPr>
                <w:rFonts w:ascii="新細明體" w:hAnsi="新細明體" w:cs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太子神童教學體驗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民間傳統家將</w:t>
            </w:r>
            <w:r w:rsidRPr="003961FB">
              <w:rPr>
                <w:rFonts w:ascii="新細明體" w:hAnsi="新細明體" w:cs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官將首角色扮演體驗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台灣傳統掌中戲教學體驗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大溪傳統技藝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-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陀螺教學及體驗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準備</w:t>
            </w:r>
          </w:p>
        </w:tc>
      </w:tr>
      <w:tr w:rsidR="00287261" w:rsidRPr="003961FB">
        <w:trPr>
          <w:trHeight w:val="627"/>
        </w:trPr>
        <w:tc>
          <w:tcPr>
            <w:tcW w:w="1845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1417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無</w:t>
            </w:r>
          </w:p>
        </w:tc>
      </w:tr>
      <w:tr w:rsidR="00287261" w:rsidRPr="003961FB">
        <w:tc>
          <w:tcPr>
            <w:tcW w:w="1845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1417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傳統宮廟臉譜彩繪</w:t>
            </w:r>
          </w:p>
        </w:tc>
      </w:tr>
      <w:tr w:rsidR="00287261" w:rsidRPr="003961FB">
        <w:tc>
          <w:tcPr>
            <w:tcW w:w="1845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1417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拒絕毒品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-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新興毒品辨識</w:t>
            </w:r>
          </w:p>
        </w:tc>
      </w:tr>
      <w:tr w:rsidR="00287261" w:rsidRPr="003961FB">
        <w:tc>
          <w:tcPr>
            <w:tcW w:w="1845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1417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準備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(</w:t>
            </w: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晚餐</w:t>
            </w: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)</w:t>
            </w:r>
          </w:p>
        </w:tc>
      </w:tr>
      <w:tr w:rsidR="00287261" w:rsidRPr="003961FB">
        <w:tc>
          <w:tcPr>
            <w:tcW w:w="1845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  <w:t>17:00-19:00</w:t>
            </w:r>
          </w:p>
        </w:tc>
        <w:tc>
          <w:tcPr>
            <w:tcW w:w="1417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87261" w:rsidRPr="003961FB" w:rsidRDefault="00287261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cs="標楷體" w:hint="eastAsia"/>
                <w:spacing w:val="8"/>
                <w:kern w:val="0"/>
                <w:sz w:val="28"/>
                <w:szCs w:val="28"/>
              </w:rPr>
              <w:t>結業成果發表會</w:t>
            </w:r>
          </w:p>
        </w:tc>
      </w:tr>
    </w:tbl>
    <w:p w:rsidR="00287261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287261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287261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287261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287261" w:rsidRPr="003C6DB5" w:rsidRDefault="00287261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 w:cs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預期效益</w:t>
      </w:r>
      <w:r w:rsidRPr="003C6DB5">
        <w:rPr>
          <w:rFonts w:ascii="標楷體" w:eastAsia="標楷體" w:hAnsi="標楷體" w:cs="標楷體"/>
          <w:spacing w:val="8"/>
          <w:kern w:val="0"/>
          <w:sz w:val="28"/>
          <w:szCs w:val="28"/>
        </w:rPr>
        <w:t>:</w:t>
      </w:r>
    </w:p>
    <w:p w:rsidR="00287261" w:rsidRPr="003C6DB5" w:rsidRDefault="00287261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一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、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建立正確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傳統藝陣文化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觀念，面對毒品誘惑勇敢說不。</w:t>
      </w:r>
    </w:p>
    <w:p w:rsidR="00287261" w:rsidRDefault="00287261" w:rsidP="0026642D">
      <w:pPr>
        <w:adjustRightInd w:val="0"/>
        <w:snapToGrid w:val="0"/>
        <w:spacing w:line="240" w:lineRule="atLeast"/>
        <w:ind w:leftChars="150" w:left="31680" w:hangingChars="183" w:firstLine="3168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二、透過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優質民俗文化體驗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提昇宮廟藝陣文化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藝術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化與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生活</w:t>
      </w:r>
    </w:p>
    <w:p w:rsidR="00287261" w:rsidRDefault="00287261" w:rsidP="0026642D">
      <w:pPr>
        <w:adjustRightInd w:val="0"/>
        <w:snapToGrid w:val="0"/>
        <w:spacing w:line="240" w:lineRule="atLeast"/>
        <w:ind w:leftChars="150" w:left="31680" w:hangingChars="183" w:firstLine="3168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化，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並講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反毒觀念融入生活。</w:t>
      </w:r>
    </w:p>
    <w:p w:rsidR="00287261" w:rsidRDefault="00287261" w:rsidP="0026642D">
      <w:pPr>
        <w:adjustRightInd w:val="0"/>
        <w:snapToGrid w:val="0"/>
        <w:spacing w:line="240" w:lineRule="atLeast"/>
        <w:ind w:leftChars="150" w:left="31680" w:hangingChars="183" w:firstLine="3168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8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三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藉由民俗文化教學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並邀請家長親子同樂互動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，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建立拒毒</w:t>
      </w:r>
    </w:p>
    <w:p w:rsidR="00287261" w:rsidRDefault="00287261" w:rsidP="0026642D">
      <w:pPr>
        <w:adjustRightInd w:val="0"/>
        <w:snapToGrid w:val="0"/>
        <w:spacing w:line="240" w:lineRule="atLeast"/>
        <w:ind w:leftChars="150" w:left="31680" w:hangingChars="183" w:firstLine="3168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健康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的宮廟藝陣文化</w:t>
      </w:r>
      <w:r w:rsidRPr="003C6DB5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。</w:t>
      </w:r>
    </w:p>
    <w:p w:rsidR="00287261" w:rsidRDefault="00287261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805F4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經費來源：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課程體驗活動</w:t>
      </w:r>
      <w:r w:rsidRPr="000805F4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由桃園市政府教育局地方教育發展基金預算支應，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親子成果發表會由本市衛生局支應</w:t>
      </w:r>
      <w:r>
        <w:rPr>
          <w:rFonts w:ascii="新細明體" w:hAnsi="新細明體" w:cs="新細明體" w:hint="eastAsia"/>
          <w:spacing w:val="8"/>
          <w:kern w:val="0"/>
          <w:sz w:val="28"/>
          <w:szCs w:val="28"/>
        </w:rPr>
        <w:t>，</w:t>
      </w:r>
      <w:r w:rsidRPr="000805F4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概算表如</w:t>
      </w:r>
      <w:r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後</w:t>
      </w:r>
      <w:r w:rsidRPr="000805F4">
        <w:rPr>
          <w:rFonts w:ascii="標楷體" w:eastAsia="標楷體" w:hAnsi="標楷體" w:cs="標楷體" w:hint="eastAsia"/>
          <w:spacing w:val="8"/>
          <w:kern w:val="0"/>
          <w:sz w:val="28"/>
          <w:szCs w:val="28"/>
        </w:rPr>
        <w:t>附件。</w:t>
      </w:r>
    </w:p>
    <w:p w:rsidR="00287261" w:rsidRPr="000805F4" w:rsidRDefault="00287261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本計畫奉核後實施，修正時亦同。</w:t>
      </w:r>
    </w:p>
    <w:p w:rsidR="00287261" w:rsidRDefault="00287261" w:rsidP="003B447F">
      <w:pPr>
        <w:widowControl/>
        <w:tabs>
          <w:tab w:val="num" w:pos="540"/>
        </w:tabs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287261" w:rsidRDefault="00287261" w:rsidP="003B447F">
      <w:pPr>
        <w:widowControl/>
        <w:tabs>
          <w:tab w:val="num" w:pos="540"/>
        </w:tabs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287261" w:rsidRDefault="00287261" w:rsidP="003B447F">
      <w:pPr>
        <w:widowControl/>
        <w:tabs>
          <w:tab w:val="num" w:pos="540"/>
        </w:tabs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287261" w:rsidRPr="003B447F" w:rsidRDefault="00287261"/>
    <w:sectPr w:rsidR="00287261" w:rsidRPr="003B447F" w:rsidSect="003B44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145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07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>
    <w:nsid w:val="1F215FF4"/>
    <w:multiLevelType w:val="hybridMultilevel"/>
    <w:tmpl w:val="1E585A30"/>
    <w:lvl w:ilvl="0" w:tplc="36C8F924">
      <w:start w:val="6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F994B51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47F"/>
    <w:rsid w:val="000805F4"/>
    <w:rsid w:val="00095823"/>
    <w:rsid w:val="000B5C72"/>
    <w:rsid w:val="001575DA"/>
    <w:rsid w:val="00264F5D"/>
    <w:rsid w:val="0026642D"/>
    <w:rsid w:val="00287261"/>
    <w:rsid w:val="003961FB"/>
    <w:rsid w:val="003A1793"/>
    <w:rsid w:val="003B447F"/>
    <w:rsid w:val="003B7D4E"/>
    <w:rsid w:val="003C6DB5"/>
    <w:rsid w:val="004F49FC"/>
    <w:rsid w:val="00502C85"/>
    <w:rsid w:val="006500ED"/>
    <w:rsid w:val="00844D94"/>
    <w:rsid w:val="008F480E"/>
    <w:rsid w:val="00A052A2"/>
    <w:rsid w:val="00A2155E"/>
    <w:rsid w:val="00BB6219"/>
    <w:rsid w:val="00BF614A"/>
    <w:rsid w:val="00C74819"/>
    <w:rsid w:val="00E8391D"/>
    <w:rsid w:val="00F93B4C"/>
    <w:rsid w:val="00FA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7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178</Words>
  <Characters>1018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桃園市108年度新世代反毒策略—結合民間團體</dc:title>
  <dc:subject/>
  <dc:creator>張志瑋</dc:creator>
  <cp:keywords/>
  <dc:description/>
  <cp:lastModifiedBy>chang</cp:lastModifiedBy>
  <cp:revision>2</cp:revision>
  <dcterms:created xsi:type="dcterms:W3CDTF">2019-06-19T00:38:00Z</dcterms:created>
  <dcterms:modified xsi:type="dcterms:W3CDTF">2019-06-19T00:38:00Z</dcterms:modified>
</cp:coreProperties>
</file>