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8E" w:rsidRPr="00413C8E" w:rsidRDefault="00D9548E" w:rsidP="00D9548E">
      <w:pPr>
        <w:widowControl/>
        <w:tabs>
          <w:tab w:val="left" w:pos="720"/>
        </w:tabs>
        <w:spacing w:line="480" w:lineRule="exact"/>
        <w:jc w:val="center"/>
        <w:textAlignment w:val="top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bookmarkEnd w:id="0"/>
      <w:r w:rsidRPr="00413C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苗竹竹桃四縣市108年度能源教育</w:t>
      </w:r>
      <w:r w:rsidR="0089555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</w:t>
      </w:r>
      <w:r w:rsidR="00895551" w:rsidRPr="00895551">
        <w:rPr>
          <w:rFonts w:ascii="標楷體" w:eastAsia="標楷體" w:hAnsi="標楷體" w:cs="新細明體"/>
          <w:b/>
          <w:kern w:val="0"/>
          <w:sz w:val="32"/>
          <w:szCs w:val="32"/>
        </w:rPr>
        <w:t>風力發電原理探討與教具製作研習</w:t>
      </w:r>
      <w:r w:rsidRPr="00413C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D9548E" w:rsidRPr="00413C8E" w:rsidRDefault="00D9548E" w:rsidP="00D9548E">
      <w:pPr>
        <w:widowControl/>
        <w:tabs>
          <w:tab w:val="num" w:pos="540"/>
          <w:tab w:val="num" w:pos="1260"/>
        </w:tabs>
        <w:spacing w:line="540" w:lineRule="exact"/>
        <w:ind w:left="720" w:hanging="720"/>
        <w:textAlignment w:val="top"/>
        <w:rPr>
          <w:rFonts w:ascii="標楷體" w:eastAsia="標楷體" w:hAnsi="標楷體" w:cs="新細明體"/>
          <w:b/>
          <w:kern w:val="0"/>
          <w:szCs w:val="24"/>
        </w:rPr>
      </w:pPr>
      <w:r w:rsidRPr="00413C8E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413C8E">
        <w:rPr>
          <w:rFonts w:ascii="標楷體" w:eastAsia="標楷體" w:hAnsi="標楷體"/>
          <w:kern w:val="0"/>
          <w:sz w:val="14"/>
          <w:szCs w:val="14"/>
        </w:rPr>
        <w:t> </w:t>
      </w:r>
      <w:r w:rsidRPr="00413C8E">
        <w:rPr>
          <w:rFonts w:ascii="標楷體" w:eastAsia="標楷體" w:hAnsi="標楷體"/>
          <w:b/>
          <w:kern w:val="0"/>
          <w:sz w:val="14"/>
          <w:szCs w:val="14"/>
        </w:rPr>
        <w:t xml:space="preserve"> </w:t>
      </w:r>
      <w:r w:rsidRPr="00413C8E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</w:p>
    <w:p w:rsidR="00D9548E" w:rsidRPr="00413C8E" w:rsidRDefault="00D9548E" w:rsidP="00D9548E">
      <w:pPr>
        <w:rPr>
          <w:rFonts w:ascii="標楷體" w:eastAsia="標楷體" w:hAnsi="標楷體"/>
        </w:rPr>
      </w:pPr>
      <w:r w:rsidRPr="00413C8E">
        <w:rPr>
          <w:rFonts w:ascii="標楷體" w:eastAsia="標楷體" w:hAnsi="標楷體" w:hint="eastAsia"/>
        </w:rPr>
        <w:t xml:space="preserve">  (一)依據經濟部能源局「能源教育推動中心實施計畫」辦理。</w:t>
      </w:r>
    </w:p>
    <w:p w:rsidR="00D9548E" w:rsidRPr="00413C8E" w:rsidRDefault="00D9548E" w:rsidP="00D9548E">
      <w:pPr>
        <w:widowControl/>
        <w:tabs>
          <w:tab w:val="num" w:pos="540"/>
          <w:tab w:val="num" w:pos="1260"/>
        </w:tabs>
        <w:spacing w:line="540" w:lineRule="exact"/>
        <w:ind w:left="720" w:hanging="72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hint="eastAsia"/>
        </w:rPr>
        <w:t xml:space="preserve">  (二)依據國立臺灣師範大學師大機電字第1081006194號函辦理</w:t>
      </w:r>
      <w:r w:rsidRPr="00413C8E">
        <w:rPr>
          <w:rFonts w:ascii="新細明體" w:hAnsi="新細明體" w:hint="eastAsia"/>
        </w:rPr>
        <w:t>。</w:t>
      </w:r>
    </w:p>
    <w:p w:rsidR="00D9548E" w:rsidRPr="00413C8E" w:rsidRDefault="00D9548E" w:rsidP="00D9548E">
      <w:pPr>
        <w:widowControl/>
        <w:tabs>
          <w:tab w:val="num" w:pos="54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413C8E">
        <w:rPr>
          <w:rFonts w:ascii="標楷體" w:eastAsia="標楷體" w:hAnsi="標楷體"/>
          <w:kern w:val="0"/>
          <w:sz w:val="14"/>
          <w:szCs w:val="14"/>
        </w:rPr>
        <w:t xml:space="preserve">  </w:t>
      </w:r>
      <w:r w:rsidRPr="00413C8E">
        <w:rPr>
          <w:rFonts w:ascii="標楷體" w:eastAsia="標楷體" w:hAnsi="標楷體" w:cs="新細明體" w:hint="eastAsia"/>
          <w:b/>
          <w:kern w:val="0"/>
          <w:szCs w:val="24"/>
        </w:rPr>
        <w:t>計畫目標</w:t>
      </w:r>
    </w:p>
    <w:p w:rsidR="00D9548E" w:rsidRPr="00413C8E" w:rsidRDefault="00D9548E" w:rsidP="00D9548E">
      <w:pPr>
        <w:spacing w:line="540" w:lineRule="exact"/>
        <w:rPr>
          <w:rFonts w:ascii="標楷體" w:eastAsia="標楷體" w:hAnsi="標楷體"/>
          <w:szCs w:val="24"/>
        </w:rPr>
      </w:pPr>
      <w:r w:rsidRPr="00413C8E">
        <w:rPr>
          <w:rFonts w:ascii="標楷體" w:eastAsia="標楷體" w:hAnsi="標楷體" w:hint="eastAsia"/>
          <w:szCs w:val="24"/>
        </w:rPr>
        <w:t>（一）藉由能源設施與場所之</w:t>
      </w:r>
      <w:r w:rsidR="00895551">
        <w:rPr>
          <w:rFonts w:ascii="標楷體" w:eastAsia="標楷體" w:hAnsi="標楷體" w:hint="eastAsia"/>
          <w:szCs w:val="24"/>
        </w:rPr>
        <w:t>實作</w:t>
      </w:r>
      <w:r w:rsidRPr="00413C8E">
        <w:rPr>
          <w:rFonts w:ascii="標楷體" w:eastAsia="標楷體" w:hAnsi="標楷體" w:hint="eastAsia"/>
          <w:szCs w:val="24"/>
        </w:rPr>
        <w:t>與交流，印證與瞭解實務與理念的差異。</w:t>
      </w:r>
    </w:p>
    <w:p w:rsidR="00D9548E" w:rsidRPr="00413C8E" w:rsidRDefault="00D9548E" w:rsidP="00D9548E">
      <w:pPr>
        <w:spacing w:line="540" w:lineRule="exact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hint="eastAsia"/>
          <w:szCs w:val="24"/>
        </w:rPr>
        <w:t>（二）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 xml:space="preserve">提升「苗竹竹桃能源教育推動中心策略聯盟」成員之凝聚力與向心力。    </w:t>
      </w:r>
    </w:p>
    <w:p w:rsidR="00D9548E" w:rsidRPr="00413C8E" w:rsidRDefault="00D9548E" w:rsidP="00D9548E">
      <w:pPr>
        <w:widowControl/>
        <w:tabs>
          <w:tab w:val="left" w:pos="5680"/>
        </w:tabs>
        <w:spacing w:line="540" w:lineRule="exact"/>
        <w:textAlignment w:val="top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三、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 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辦理單位</w:t>
      </w:r>
      <w:r w:rsidRPr="00413C8E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:rsidR="00D9548E" w:rsidRPr="00413C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（一）指導單位：國立臺灣師範大學</w:t>
      </w:r>
    </w:p>
    <w:p w:rsidR="00D954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（二）協辦單位：桃園市政府教育局、新竹市政府教育</w:t>
      </w:r>
      <w:r w:rsidR="00FD20CE">
        <w:rPr>
          <w:rFonts w:ascii="標楷體" w:eastAsia="標楷體" w:hAnsi="標楷體" w:cs="新細明體" w:hint="eastAsia"/>
          <w:kern w:val="0"/>
          <w:szCs w:val="24"/>
        </w:rPr>
        <w:t>處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、新竹縣政府教育</w:t>
      </w:r>
    </w:p>
    <w:p w:rsidR="00D9548E" w:rsidRPr="00413C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</w:t>
      </w:r>
      <w:r w:rsidR="00FD20CE">
        <w:rPr>
          <w:rFonts w:ascii="標楷體" w:eastAsia="標楷體" w:hAnsi="標楷體" w:cs="新細明體" w:hint="eastAsia"/>
          <w:kern w:val="0"/>
          <w:szCs w:val="24"/>
        </w:rPr>
        <w:t>處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、苗栗縣政府教育局</w:t>
      </w:r>
    </w:p>
    <w:p w:rsidR="00D9548E" w:rsidRPr="00413C8E" w:rsidRDefault="00D9548E" w:rsidP="00D9548E">
      <w:pPr>
        <w:widowControl/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（三）承辦單位：苗栗縣後龍鎮中和國民小學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四、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參與人員(計35人)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Chars="300" w:left="126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1.竹竹桃三縣市能源教育推動中心策略聯盟推薦教師優先錄取(每縣市5名預計15人)。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Chars="300" w:left="126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2.苗栗縣對能源教育推動有興趣之校長或教師(預計20人，額滿為止)。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Chars="300" w:left="126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3.錄取名單將公告於中和國小學校首頁最新消息區</w:t>
      </w:r>
      <w:r w:rsidR="00E86FF8">
        <w:rPr>
          <w:rFonts w:ascii="標楷體" w:eastAsia="標楷體" w:hAnsi="標楷體" w:cs="新細明體" w:hint="eastAsia"/>
          <w:kern w:val="0"/>
          <w:szCs w:val="24"/>
        </w:rPr>
        <w:t>或於教師進修網審核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，參與本研習自備茶杯。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五、</w:t>
      </w:r>
      <w:r w:rsidRPr="00413C8E">
        <w:rPr>
          <w:rFonts w:ascii="標楷體" w:eastAsia="標楷體" w:hAnsi="標楷體" w:hint="eastAsia"/>
          <w:b/>
          <w:kern w:val="0"/>
          <w:sz w:val="28"/>
          <w:szCs w:val="28"/>
        </w:rPr>
        <w:t>活動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Pr="00413C8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108年9月2</w:t>
      </w:r>
      <w:r>
        <w:rPr>
          <w:rFonts w:ascii="標楷體" w:eastAsia="標楷體" w:hAnsi="標楷體" w:cs="新細明體" w:hint="eastAsia"/>
          <w:kern w:val="0"/>
          <w:szCs w:val="24"/>
        </w:rPr>
        <w:t>5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 xml:space="preserve">日(星期三)上午8時至17時。               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六、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413C8E">
        <w:rPr>
          <w:rFonts w:ascii="標楷體" w:eastAsia="標楷體" w:hAnsi="標楷體" w:hint="eastAsia"/>
          <w:b/>
          <w:kern w:val="0"/>
          <w:sz w:val="28"/>
          <w:szCs w:val="28"/>
        </w:rPr>
        <w:t>活動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地點</w:t>
      </w:r>
      <w:r w:rsidRPr="00413C8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苗栗縣後龍大鵬風力發電廠、中和國小</w:t>
      </w:r>
      <w:r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 xml:space="preserve">               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七、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:rsidR="003B7B8D" w:rsidRDefault="00D9548E" w:rsidP="00D9548E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（一）請於108年9月2</w:t>
      </w:r>
      <w:r w:rsidR="00895551">
        <w:rPr>
          <w:rFonts w:ascii="標楷體" w:eastAsia="標楷體" w:hAnsi="標楷體" w:cs="新細明體" w:hint="eastAsia"/>
          <w:kern w:val="0"/>
          <w:szCs w:val="24"/>
        </w:rPr>
        <w:t>4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895551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）12點以前至教育部全國教師在職進</w:t>
      </w:r>
    </w:p>
    <w:p w:rsidR="00D9548E" w:rsidRDefault="00D9548E" w:rsidP="003B7B8D">
      <w:pPr>
        <w:widowControl/>
        <w:tabs>
          <w:tab w:val="left" w:pos="540"/>
        </w:tabs>
        <w:spacing w:line="540" w:lineRule="exact"/>
        <w:ind w:left="540" w:firstLineChars="300" w:firstLine="72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修資訊網</w:t>
      </w:r>
      <w:hyperlink r:id="rId7" w:history="1">
        <w:r w:rsidRPr="00413C8E">
          <w:rPr>
            <w:rFonts w:ascii="Times New Roman" w:hAnsi="Times New Roman"/>
            <w:color w:val="0000FF"/>
            <w:szCs w:val="24"/>
            <w:u w:val="single"/>
          </w:rPr>
          <w:t>https://www2.inservice.edu.tw/</w:t>
        </w:r>
      </w:hyperlink>
      <w:r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</w:p>
    <w:p w:rsidR="008D291F" w:rsidRDefault="008D291F" w:rsidP="00D9548E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(二)請填寫報名表如(附件一)，</w:t>
      </w:r>
      <w:hyperlink r:id="rId8" w:history="1">
        <w:r w:rsidR="003B7B8D" w:rsidRPr="001E776C">
          <w:rPr>
            <w:rStyle w:val="a7"/>
            <w:rFonts w:ascii="標楷體" w:eastAsia="標楷體" w:hAnsi="標楷體" w:cs="新細明體" w:hint="eastAsia"/>
            <w:kern w:val="0"/>
            <w:szCs w:val="24"/>
          </w:rPr>
          <w:t>電子檔填寫後請寄lee272059@gmail.com</w:t>
        </w:r>
      </w:hyperlink>
    </w:p>
    <w:p w:rsidR="003B7B8D" w:rsidRPr="00413C8E" w:rsidRDefault="003B7B8D" w:rsidP="003B7B8D">
      <w:pPr>
        <w:widowControl/>
        <w:tabs>
          <w:tab w:val="left" w:pos="540"/>
        </w:tabs>
        <w:spacing w:line="540" w:lineRule="exact"/>
        <w:ind w:leftChars="225" w:left="1260" w:hangingChars="300" w:hanging="72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寄件後請電話聯繫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聯絡電話：037-921451#12中和國小李尚儒主任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八、</w:t>
      </w:r>
      <w:r w:rsidRPr="00413C8E">
        <w:rPr>
          <w:rFonts w:ascii="標楷體" w:eastAsia="標楷體" w:hAnsi="標楷體"/>
          <w:b/>
          <w:kern w:val="0"/>
          <w:sz w:val="28"/>
          <w:szCs w:val="28"/>
        </w:rPr>
        <w:t>研習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1939"/>
        <w:gridCol w:w="2312"/>
        <w:gridCol w:w="2255"/>
      </w:tblGrid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413C8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08:30-08:40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集合報到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(分二處集合，同車出發)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1.後龍火車站站前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2.苗栗高鐵站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開車時間：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苗栗高鐵站</w:t>
            </w:r>
            <w:r w:rsidR="00895551">
              <w:rPr>
                <w:rFonts w:ascii="標楷體" w:eastAsia="標楷體" w:hAnsi="標楷體" w:hint="eastAsia"/>
                <w:szCs w:val="24"/>
              </w:rPr>
              <w:t>約</w:t>
            </w:r>
            <w:r w:rsidRPr="00413C8E">
              <w:rPr>
                <w:rFonts w:ascii="標楷體" w:eastAsia="標楷體" w:hAnsi="標楷體" w:hint="eastAsia"/>
                <w:szCs w:val="24"/>
              </w:rPr>
              <w:t>於08：30出發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後龍火車站</w:t>
            </w:r>
            <w:r w:rsidR="00895551">
              <w:rPr>
                <w:rFonts w:ascii="標楷體" w:eastAsia="標楷體" w:hAnsi="標楷體" w:hint="eastAsia"/>
                <w:szCs w:val="24"/>
              </w:rPr>
              <w:t>約</w:t>
            </w:r>
            <w:r w:rsidRPr="00413C8E">
              <w:rPr>
                <w:rFonts w:ascii="標楷體" w:eastAsia="標楷體" w:hAnsi="標楷體" w:hint="eastAsia"/>
                <w:szCs w:val="24"/>
              </w:rPr>
              <w:t>於8：40出發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09:00-12:00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大鵬風力發電廠</w:t>
            </w:r>
            <w:r w:rsidR="00895551" w:rsidRPr="00895551">
              <w:rPr>
                <w:rFonts w:ascii="標楷體" w:eastAsia="標楷體" w:hAnsi="標楷體" w:cs="新細明體"/>
                <w:kern w:val="0"/>
                <w:szCs w:val="24"/>
              </w:rPr>
              <w:t>風力發電原理探討</w:t>
            </w: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與體驗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風力發電DIY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中和國小、好望角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外聘講師3時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內聘助教3時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中和國小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13：30-15：30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cs="新細明體" w:hint="eastAsia"/>
                <w:kern w:val="0"/>
                <w:szCs w:val="24"/>
              </w:rPr>
              <w:t>大鵬風力發電廠地形生態踏查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好望角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內聘講師2時</w:t>
            </w:r>
          </w:p>
          <w:p w:rsidR="00D9548E" w:rsidRPr="00413C8E" w:rsidRDefault="00D9548E" w:rsidP="00671924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內聘助教2時</w:t>
            </w:r>
          </w:p>
        </w:tc>
      </w:tr>
      <w:tr w:rsidR="00D9548E" w:rsidRPr="00413C8E" w:rsidTr="00671924">
        <w:trPr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13C8E">
              <w:rPr>
                <w:rFonts w:ascii="標楷體" w:eastAsia="標楷體" w:hAnsi="標楷體" w:hint="eastAsia"/>
                <w:szCs w:val="24"/>
              </w:rPr>
              <w:t>平安賦歸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9548E" w:rsidRPr="00413C8E" w:rsidRDefault="00D9548E" w:rsidP="00671924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D9548E" w:rsidRPr="00413C8E" w:rsidRDefault="008D291F" w:rsidP="002F3541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專車接送至後龍火車站及</w:t>
            </w:r>
            <w:r w:rsidR="002F3541">
              <w:rPr>
                <w:rFonts w:ascii="標楷體" w:eastAsia="標楷體" w:hAnsi="標楷體" w:hint="eastAsia"/>
                <w:szCs w:val="24"/>
              </w:rPr>
              <w:t>苗栗</w:t>
            </w:r>
            <w:r>
              <w:rPr>
                <w:rFonts w:ascii="標楷體" w:eastAsia="標楷體" w:hAnsi="標楷體" w:hint="eastAsia"/>
                <w:szCs w:val="24"/>
              </w:rPr>
              <w:t>高鐵站</w:t>
            </w:r>
          </w:p>
        </w:tc>
      </w:tr>
    </w:tbl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九、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研習時數</w:t>
      </w:r>
      <w:r w:rsidRPr="00413C8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全程參與課程人員核予5小時研習時數認證，並請各校核予公(差)假登記。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十、 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預期效益</w:t>
      </w:r>
    </w:p>
    <w:p w:rsidR="00D9548E" w:rsidRDefault="00D9548E" w:rsidP="00D9548E">
      <w:pPr>
        <w:tabs>
          <w:tab w:val="left" w:pos="540"/>
        </w:tabs>
        <w:spacing w:line="540" w:lineRule="exact"/>
        <w:rPr>
          <w:rFonts w:ascii="標楷體" w:eastAsia="標楷體" w:hAnsi="標楷體"/>
          <w:szCs w:val="24"/>
        </w:rPr>
      </w:pPr>
      <w:r w:rsidRPr="00413C8E">
        <w:rPr>
          <w:rFonts w:ascii="標楷體" w:eastAsia="標楷體" w:hAnsi="標楷體" w:hint="eastAsia"/>
          <w:szCs w:val="24"/>
        </w:rPr>
        <w:t>（一）透過實際參訪活動，激勵學校所屬成員創新思維，促使發展能源教育特</w:t>
      </w:r>
    </w:p>
    <w:p w:rsidR="00D9548E" w:rsidRPr="00413C8E" w:rsidRDefault="00D9548E" w:rsidP="00D9548E">
      <w:pPr>
        <w:tabs>
          <w:tab w:val="left" w:pos="540"/>
        </w:tabs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413C8E">
        <w:rPr>
          <w:rFonts w:ascii="標楷體" w:eastAsia="標楷體" w:hAnsi="標楷體" w:hint="eastAsia"/>
          <w:szCs w:val="24"/>
        </w:rPr>
        <w:t>色。</w:t>
      </w:r>
    </w:p>
    <w:p w:rsidR="00D954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新細明體" w:hint="eastAsia"/>
          <w:kern w:val="0"/>
          <w:szCs w:val="24"/>
        </w:rPr>
        <w:t>（二）提升「苗竹竹桃能源教育推動中心策略聯盟」成員之專業知能與凝聚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textAlignment w:val="top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力。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十一、</w:t>
      </w:r>
      <w:r w:rsidRPr="00413C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經費概算</w:t>
      </w:r>
      <w:r w:rsidRPr="00413C8E">
        <w:rPr>
          <w:rFonts w:ascii="標楷體" w:eastAsia="標楷體" w:hAnsi="標楷體" w:cs="新細明體" w:hint="eastAsia"/>
          <w:kern w:val="0"/>
          <w:szCs w:val="24"/>
        </w:rPr>
        <w:t>：由能源教育推動中心年度經費支應。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十二、獎勵</w:t>
      </w:r>
      <w:r w:rsidRPr="00413C8E">
        <w:rPr>
          <w:rFonts w:ascii="標楷體" w:eastAsia="標楷體" w:hAnsi="標楷體" w:cs="標楷體" w:hint="eastAsia"/>
          <w:b/>
          <w:kern w:val="0"/>
          <w:szCs w:val="24"/>
        </w:rPr>
        <w:t>：</w:t>
      </w:r>
      <w:r w:rsidRPr="00413C8E">
        <w:rPr>
          <w:rFonts w:ascii="標楷體" w:eastAsia="標楷體" w:hAnsi="標楷體" w:cs="標楷體" w:hint="eastAsia"/>
          <w:kern w:val="0"/>
          <w:szCs w:val="24"/>
        </w:rPr>
        <w:t>承辦活動人員依苗栗縣教師獎勵辦法辦理獎勵。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 w:rsidRPr="00413C8E">
        <w:rPr>
          <w:rFonts w:ascii="標楷體" w:eastAsia="標楷體" w:hAnsi="標楷體" w:cs="標楷體" w:hint="eastAsia"/>
          <w:b/>
          <w:kern w:val="0"/>
          <w:sz w:val="28"/>
          <w:szCs w:val="28"/>
        </w:rPr>
        <w:t>十三、</w:t>
      </w:r>
      <w:r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>本計畫經核定後實施，修正時亦同。</w:t>
      </w: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9548E" w:rsidRPr="00413C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9548E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D9548E" w:rsidRPr="00413C8E" w:rsidRDefault="003B7B8D" w:rsidP="00D9548E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附件一</w:t>
      </w:r>
      <w:r w:rsidR="00D9548E" w:rsidRPr="00413C8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</w:t>
      </w:r>
    </w:p>
    <w:p w:rsidR="00D9548E" w:rsidRPr="002F3541" w:rsidRDefault="002F3541" w:rsidP="00C55A41">
      <w:pPr>
        <w:widowControl/>
        <w:tabs>
          <w:tab w:val="left" w:pos="540"/>
          <w:tab w:val="num" w:pos="720"/>
          <w:tab w:val="num" w:pos="1260"/>
        </w:tabs>
        <w:spacing w:line="540" w:lineRule="exact"/>
        <w:ind w:left="540" w:hanging="540"/>
        <w:jc w:val="center"/>
        <w:textAlignment w:val="top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41">
        <w:rPr>
          <w:rFonts w:ascii="標楷體" w:eastAsia="標楷體" w:hAnsi="標楷體" w:cs="新細明體" w:hint="eastAsia"/>
          <w:kern w:val="0"/>
          <w:sz w:val="32"/>
          <w:szCs w:val="32"/>
        </w:rPr>
        <w:t>苗竹竹桃四縣市108年度能源教育--</w:t>
      </w:r>
      <w:r w:rsidRPr="002F3541">
        <w:rPr>
          <w:rFonts w:ascii="標楷體" w:eastAsia="標楷體" w:hAnsi="標楷體" w:cs="新細明體"/>
          <w:kern w:val="0"/>
          <w:sz w:val="32"/>
          <w:szCs w:val="32"/>
        </w:rPr>
        <w:t>風力發電原理探討與教具製作研習</w:t>
      </w:r>
      <w:r w:rsidR="003B7B8D" w:rsidRPr="002F35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報名表</w:t>
      </w:r>
    </w:p>
    <w:tbl>
      <w:tblPr>
        <w:tblStyle w:val="a8"/>
        <w:tblW w:w="0" w:type="auto"/>
        <w:tblInd w:w="540" w:type="dxa"/>
        <w:tblLook w:val="04A0" w:firstRow="1" w:lastRow="0" w:firstColumn="1" w:lastColumn="0" w:noHBand="0" w:noVBand="1"/>
      </w:tblPr>
      <w:tblGrid>
        <w:gridCol w:w="2004"/>
        <w:gridCol w:w="5786"/>
      </w:tblGrid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縣市名稱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聯繫電話(手機)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    餐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□葷食□素食</w:t>
            </w:r>
          </w:p>
        </w:tc>
      </w:tr>
      <w:tr w:rsidR="002F3541" w:rsidTr="002F3541">
        <w:tc>
          <w:tcPr>
            <w:tcW w:w="2004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交通方式</w:t>
            </w:r>
          </w:p>
        </w:tc>
        <w:tc>
          <w:tcPr>
            <w:tcW w:w="5786" w:type="dxa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來程</w:t>
            </w:r>
          </w:p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□後龍火車站□苗栗高鐵站 □自行開車</w:t>
            </w:r>
          </w:p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回程</w:t>
            </w:r>
          </w:p>
          <w:p w:rsidR="002F3541" w:rsidRDefault="002F3541" w:rsidP="002F3541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□後龍火車站□苗栗高鐵站 □自行開車</w:t>
            </w:r>
          </w:p>
        </w:tc>
      </w:tr>
      <w:tr w:rsidR="002F3541" w:rsidTr="002F3541">
        <w:tc>
          <w:tcPr>
            <w:tcW w:w="2004" w:type="dxa"/>
            <w:shd w:val="clear" w:color="auto" w:fill="auto"/>
          </w:tcPr>
          <w:p w:rsid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5786" w:type="dxa"/>
            <w:shd w:val="clear" w:color="auto" w:fill="auto"/>
          </w:tcPr>
          <w:p w:rsidR="002F3541" w:rsidRPr="002F3541" w:rsidRDefault="002F3541" w:rsidP="00D9548E">
            <w:pPr>
              <w:widowControl/>
              <w:tabs>
                <w:tab w:val="left" w:pos="540"/>
                <w:tab w:val="num" w:pos="720"/>
                <w:tab w:val="num" w:pos="1260"/>
              </w:tabs>
              <w:spacing w:line="480" w:lineRule="exact"/>
              <w:textAlignment w:val="top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F3541" w:rsidRDefault="002F3541" w:rsidP="002F3541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F3541" w:rsidRPr="002F3541" w:rsidRDefault="002F3541" w:rsidP="002F3541">
      <w:pPr>
        <w:widowControl/>
        <w:tabs>
          <w:tab w:val="left" w:pos="540"/>
        </w:tabs>
        <w:spacing w:line="540" w:lineRule="exact"/>
        <w:ind w:left="540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2F3541">
        <w:rPr>
          <w:rFonts w:ascii="標楷體" w:eastAsia="標楷體" w:hAnsi="標楷體" w:cs="新細明體" w:hint="eastAsia"/>
          <w:kern w:val="0"/>
          <w:szCs w:val="24"/>
        </w:rPr>
        <w:t>報名表</w:t>
      </w:r>
      <w:hyperlink r:id="rId9" w:history="1">
        <w:r w:rsidRPr="002F3541">
          <w:rPr>
            <w:rStyle w:val="a7"/>
            <w:rFonts w:ascii="標楷體" w:eastAsia="標楷體" w:hAnsi="標楷體" w:cs="新細明體" w:hint="eastAsia"/>
            <w:color w:val="auto"/>
            <w:kern w:val="0"/>
            <w:szCs w:val="24"/>
          </w:rPr>
          <w:t>電子檔填寫後請寄lee272059@gmail.com</w:t>
        </w:r>
      </w:hyperlink>
      <w:r w:rsidRPr="002F3541">
        <w:rPr>
          <w:rFonts w:ascii="標楷體" w:eastAsia="標楷體" w:hAnsi="標楷體" w:cs="新細明體" w:hint="eastAsia"/>
          <w:kern w:val="0"/>
          <w:szCs w:val="24"/>
        </w:rPr>
        <w:t>寄件後請電話聯繫聯絡電話：037-921451#12中和國小李尚儒主任</w:t>
      </w:r>
    </w:p>
    <w:p w:rsidR="00D9548E" w:rsidRPr="002F3541" w:rsidRDefault="00D9548E" w:rsidP="00D9548E">
      <w:pPr>
        <w:widowControl/>
        <w:tabs>
          <w:tab w:val="left" w:pos="540"/>
          <w:tab w:val="num" w:pos="720"/>
          <w:tab w:val="num" w:pos="1260"/>
        </w:tabs>
        <w:spacing w:line="480" w:lineRule="exact"/>
        <w:ind w:left="540" w:hanging="540"/>
        <w:textAlignment w:val="top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B47699" w:rsidRDefault="00B47699"/>
    <w:sectPr w:rsidR="00B47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10" w:rsidRDefault="00E77B10" w:rsidP="00D9548E">
      <w:r>
        <w:separator/>
      </w:r>
    </w:p>
  </w:endnote>
  <w:endnote w:type="continuationSeparator" w:id="0">
    <w:p w:rsidR="00E77B10" w:rsidRDefault="00E77B10" w:rsidP="00D9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10" w:rsidRDefault="00E77B10" w:rsidP="00D9548E">
      <w:r>
        <w:separator/>
      </w:r>
    </w:p>
  </w:footnote>
  <w:footnote w:type="continuationSeparator" w:id="0">
    <w:p w:rsidR="00E77B10" w:rsidRDefault="00E77B10" w:rsidP="00D9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0C"/>
    <w:rsid w:val="0026380C"/>
    <w:rsid w:val="002F3541"/>
    <w:rsid w:val="003B7B8D"/>
    <w:rsid w:val="00653113"/>
    <w:rsid w:val="007A46CC"/>
    <w:rsid w:val="00806BE8"/>
    <w:rsid w:val="00864D65"/>
    <w:rsid w:val="00895551"/>
    <w:rsid w:val="008D291F"/>
    <w:rsid w:val="00B47699"/>
    <w:rsid w:val="00BE1B31"/>
    <w:rsid w:val="00C54610"/>
    <w:rsid w:val="00C55A41"/>
    <w:rsid w:val="00CC2E22"/>
    <w:rsid w:val="00D734D7"/>
    <w:rsid w:val="00D9548E"/>
    <w:rsid w:val="00E77B10"/>
    <w:rsid w:val="00E86FF8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4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4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48E"/>
    <w:rPr>
      <w:sz w:val="20"/>
      <w:szCs w:val="20"/>
    </w:rPr>
  </w:style>
  <w:style w:type="character" w:styleId="a7">
    <w:name w:val="Hyperlink"/>
    <w:basedOn w:val="a0"/>
    <w:uiPriority w:val="99"/>
    <w:unhideWhenUsed/>
    <w:rsid w:val="003B7B8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4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4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4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48E"/>
    <w:rPr>
      <w:sz w:val="20"/>
      <w:szCs w:val="20"/>
    </w:rPr>
  </w:style>
  <w:style w:type="character" w:styleId="a7">
    <w:name w:val="Hyperlink"/>
    <w:basedOn w:val="a0"/>
    <w:uiPriority w:val="99"/>
    <w:unhideWhenUsed/>
    <w:rsid w:val="003B7B8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2635;&#23531;&#24460;&#35531;&#23492;lee27205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inservice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8651;&#23376;&#27284;&#22635;&#23531;&#24460;&#35531;&#23492;lee27205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2019-09-12T07:09:00Z</cp:lastPrinted>
  <dcterms:created xsi:type="dcterms:W3CDTF">2019-09-19T04:31:00Z</dcterms:created>
  <dcterms:modified xsi:type="dcterms:W3CDTF">2019-09-19T04:31:00Z</dcterms:modified>
</cp:coreProperties>
</file>